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88" w:rsidRPr="008D5588" w:rsidRDefault="008D5588" w:rsidP="008D55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rPr>
          <w:rFonts w:eastAsiaTheme="minorEastAsia"/>
          <w:caps/>
          <w:spacing w:val="15"/>
          <w:sz w:val="20"/>
          <w:szCs w:val="20"/>
        </w:rPr>
      </w:pPr>
      <w:bookmarkStart w:id="0" w:name="_Toc534984181"/>
      <w:bookmarkStart w:id="1" w:name="_Ref534984468"/>
      <w:bookmarkStart w:id="2" w:name="_GoBack"/>
      <w:bookmarkEnd w:id="2"/>
      <w:r w:rsidRPr="008D5588">
        <w:rPr>
          <w:rFonts w:eastAsiaTheme="minorEastAsia"/>
          <w:caps/>
          <w:spacing w:val="15"/>
          <w:sz w:val="20"/>
          <w:szCs w:val="20"/>
        </w:rPr>
        <w:t>Anti-Hazing Policy</w:t>
      </w:r>
      <w:bookmarkEnd w:id="0"/>
      <w:bookmarkEnd w:id="1"/>
    </w:p>
    <w:p w:rsidR="008D5588" w:rsidRPr="008D5588" w:rsidRDefault="008D5588" w:rsidP="008D5588">
      <w:pPr>
        <w:spacing w:before="100" w:after="200" w:line="276" w:lineRule="auto"/>
        <w:jc w:val="both"/>
        <w:rPr>
          <w:rFonts w:eastAsiaTheme="minorEastAsia"/>
          <w:sz w:val="20"/>
          <w:szCs w:val="20"/>
        </w:rPr>
      </w:pPr>
      <w:r w:rsidRPr="008D5588">
        <w:rPr>
          <w:rFonts w:eastAsiaTheme="minorEastAsia"/>
          <w:sz w:val="20"/>
          <w:szCs w:val="20"/>
        </w:rPr>
        <w:t>Misericordia University is committed to providing a learning environment that is free of violence and supports the health and well-being of its students.  Our core values guide and govern the actions of our community.  Intentional behaviors that put a person at risk of physical and/or emotional harm are an affront to the dignity of the individual and are at odds with the values and mission of the University.</w:t>
      </w:r>
    </w:p>
    <w:p w:rsidR="008D5588" w:rsidRPr="008D5588" w:rsidRDefault="008D5588" w:rsidP="008D5588">
      <w:pPr>
        <w:spacing w:before="100" w:after="200" w:line="276" w:lineRule="auto"/>
        <w:rPr>
          <w:rFonts w:eastAsiaTheme="minorEastAsia"/>
          <w:sz w:val="20"/>
          <w:szCs w:val="20"/>
        </w:rPr>
      </w:pPr>
      <w:r w:rsidRPr="008D5588">
        <w:rPr>
          <w:rFonts w:eastAsiaTheme="minorEastAsia"/>
          <w:sz w:val="20"/>
          <w:szCs w:val="20"/>
        </w:rPr>
        <w:t>This Anti-Hazing Policy applies to behaviors that take place on the campus, at University sponsored events, and may also apply to off campus events, when the administration determines, in its discretion, that the off-campus conduct affects a substantial University interest.  Sanctions can be applied to individuals, and/or organizations, clubs and athletic teams.</w:t>
      </w:r>
    </w:p>
    <w:p w:rsidR="008D5588" w:rsidRPr="008D5588" w:rsidRDefault="008D5588" w:rsidP="008D5588">
      <w:pPr>
        <w:pBdr>
          <w:top w:val="single" w:sz="6" w:space="2" w:color="5B9BD5" w:themeColor="accent1"/>
        </w:pBdr>
        <w:spacing w:before="300" w:after="0" w:line="276" w:lineRule="auto"/>
        <w:outlineLvl w:val="2"/>
        <w:rPr>
          <w:rFonts w:eastAsiaTheme="minorEastAsia"/>
          <w:caps/>
          <w:color w:val="1F4D78" w:themeColor="accent1" w:themeShade="7F"/>
          <w:spacing w:val="15"/>
          <w:sz w:val="20"/>
          <w:szCs w:val="20"/>
        </w:rPr>
      </w:pPr>
      <w:bookmarkStart w:id="3" w:name="_Toc534984182"/>
      <w:r w:rsidRPr="008D5588">
        <w:rPr>
          <w:rFonts w:eastAsiaTheme="minorEastAsia"/>
          <w:caps/>
          <w:color w:val="1F4D78" w:themeColor="accent1" w:themeShade="7F"/>
          <w:spacing w:val="15"/>
          <w:sz w:val="20"/>
          <w:szCs w:val="20"/>
        </w:rPr>
        <w:t>Prohibited Conduct</w:t>
      </w:r>
      <w:bookmarkEnd w:id="3"/>
    </w:p>
    <w:p w:rsidR="008D5588" w:rsidRPr="008D5588" w:rsidRDefault="008D5588" w:rsidP="008D5588">
      <w:pPr>
        <w:pBdr>
          <w:top w:val="dotted" w:sz="6" w:space="2" w:color="5B9BD5" w:themeColor="accent1"/>
        </w:pBdr>
        <w:spacing w:before="200" w:after="0" w:line="276" w:lineRule="auto"/>
        <w:outlineLvl w:val="3"/>
        <w:rPr>
          <w:rFonts w:eastAsiaTheme="minorEastAsia"/>
          <w:caps/>
          <w:color w:val="2E74B5" w:themeColor="accent1" w:themeShade="BF"/>
          <w:spacing w:val="10"/>
          <w:sz w:val="20"/>
          <w:szCs w:val="20"/>
        </w:rPr>
      </w:pPr>
      <w:bookmarkStart w:id="4" w:name="_Toc534984183"/>
      <w:r w:rsidRPr="008D5588">
        <w:rPr>
          <w:rFonts w:eastAsiaTheme="minorEastAsia"/>
          <w:caps/>
          <w:color w:val="2E74B5" w:themeColor="accent1" w:themeShade="BF"/>
          <w:spacing w:val="10"/>
          <w:sz w:val="20"/>
          <w:szCs w:val="20"/>
        </w:rPr>
        <w:t>Hazing</w:t>
      </w:r>
      <w:bookmarkEnd w:id="4"/>
    </w:p>
    <w:p w:rsidR="008D5588" w:rsidRPr="008D5588" w:rsidRDefault="008D5588" w:rsidP="008D5588">
      <w:pPr>
        <w:spacing w:before="100" w:after="200" w:line="276" w:lineRule="auto"/>
        <w:jc w:val="both"/>
        <w:rPr>
          <w:rFonts w:eastAsiaTheme="minorEastAsia"/>
          <w:sz w:val="20"/>
          <w:szCs w:val="20"/>
        </w:rPr>
      </w:pPr>
      <w:r w:rsidRPr="008D5588">
        <w:rPr>
          <w:rFonts w:eastAsiaTheme="minorEastAsia"/>
          <w:sz w:val="20"/>
          <w:szCs w:val="20"/>
        </w:rPr>
        <w:t>Misericordia University has no tolerance for hazing.  Hazing is defined by Pennsylvania law*, and for purposes of this Policy, as follows: When a person “intentionally, knowingly or recklessly,” for the purpose of initiating, admitting, or affiliating a student into or with a club, organization, or athletic team, or for the purpose of continuing or enhancing a student’s membership or status in a club, organization, or an athletic team, causes, coerces, or forces a student to do any of the following:</w:t>
      </w:r>
    </w:p>
    <w:p w:rsidR="008D5588" w:rsidRPr="008D5588" w:rsidRDefault="008D5588" w:rsidP="008D5588">
      <w:pPr>
        <w:numPr>
          <w:ilvl w:val="0"/>
          <w:numId w:val="1"/>
        </w:numPr>
        <w:spacing w:before="100" w:after="200" w:line="276" w:lineRule="auto"/>
        <w:contextualSpacing/>
        <w:jc w:val="both"/>
        <w:rPr>
          <w:rFonts w:eastAsiaTheme="minorEastAsia"/>
          <w:sz w:val="20"/>
          <w:szCs w:val="20"/>
        </w:rPr>
      </w:pPr>
      <w:r w:rsidRPr="008D5588">
        <w:rPr>
          <w:rFonts w:eastAsiaTheme="minorEastAsia"/>
          <w:sz w:val="20"/>
          <w:szCs w:val="20"/>
        </w:rPr>
        <w:t>Violate federal or state criminal law</w:t>
      </w:r>
    </w:p>
    <w:p w:rsidR="008D5588" w:rsidRPr="008D5588" w:rsidRDefault="008D5588" w:rsidP="008D5588">
      <w:pPr>
        <w:numPr>
          <w:ilvl w:val="0"/>
          <w:numId w:val="1"/>
        </w:numPr>
        <w:spacing w:before="100" w:after="200" w:line="276" w:lineRule="auto"/>
        <w:contextualSpacing/>
        <w:jc w:val="both"/>
        <w:rPr>
          <w:rFonts w:eastAsiaTheme="minorEastAsia"/>
          <w:sz w:val="20"/>
          <w:szCs w:val="20"/>
        </w:rPr>
      </w:pPr>
      <w:r w:rsidRPr="008D5588">
        <w:rPr>
          <w:rFonts w:eastAsiaTheme="minorEastAsia"/>
          <w:sz w:val="20"/>
          <w:szCs w:val="20"/>
        </w:rPr>
        <w:t>Consume any food, liquid, alcoholic liquid, drug or other substance which subjects the student to a risk of emotional or physical harm</w:t>
      </w:r>
    </w:p>
    <w:p w:rsidR="008D5588" w:rsidRPr="008D5588" w:rsidRDefault="008D5588" w:rsidP="008D5588">
      <w:pPr>
        <w:numPr>
          <w:ilvl w:val="0"/>
          <w:numId w:val="1"/>
        </w:numPr>
        <w:spacing w:before="100" w:after="200" w:line="276" w:lineRule="auto"/>
        <w:contextualSpacing/>
        <w:jc w:val="both"/>
        <w:rPr>
          <w:rFonts w:eastAsiaTheme="minorEastAsia"/>
          <w:sz w:val="20"/>
          <w:szCs w:val="20"/>
        </w:rPr>
      </w:pPr>
      <w:r w:rsidRPr="008D5588">
        <w:rPr>
          <w:rFonts w:eastAsiaTheme="minorEastAsia"/>
          <w:sz w:val="20"/>
          <w:szCs w:val="20"/>
        </w:rPr>
        <w:t>Endure brutality of a physical nature, including whipping, beating, branding, calisthenics, or exposure to the elements</w:t>
      </w:r>
    </w:p>
    <w:p w:rsidR="008D5588" w:rsidRPr="008D5588" w:rsidRDefault="008D5588" w:rsidP="008D5588">
      <w:pPr>
        <w:numPr>
          <w:ilvl w:val="0"/>
          <w:numId w:val="1"/>
        </w:numPr>
        <w:spacing w:before="100" w:after="200" w:line="276" w:lineRule="auto"/>
        <w:contextualSpacing/>
        <w:jc w:val="both"/>
        <w:rPr>
          <w:rFonts w:eastAsiaTheme="minorEastAsia"/>
          <w:sz w:val="20"/>
          <w:szCs w:val="20"/>
        </w:rPr>
      </w:pPr>
      <w:r w:rsidRPr="008D5588">
        <w:rPr>
          <w:rFonts w:eastAsiaTheme="minorEastAsia"/>
          <w:sz w:val="20"/>
          <w:szCs w:val="20"/>
        </w:rPr>
        <w:t>Endure brutality of a mental nature, including activity adversely affecting the mental health or dignity of the individual, sleep deprivation, exclusion from social contact or conduct that could result in extreme embarrassment</w:t>
      </w:r>
    </w:p>
    <w:p w:rsidR="008D5588" w:rsidRPr="008D5588" w:rsidRDefault="008D5588" w:rsidP="008D5588">
      <w:pPr>
        <w:numPr>
          <w:ilvl w:val="0"/>
          <w:numId w:val="1"/>
        </w:numPr>
        <w:spacing w:before="100" w:after="200" w:line="276" w:lineRule="auto"/>
        <w:contextualSpacing/>
        <w:jc w:val="both"/>
        <w:rPr>
          <w:rFonts w:eastAsiaTheme="minorEastAsia"/>
          <w:sz w:val="20"/>
          <w:szCs w:val="20"/>
        </w:rPr>
      </w:pPr>
      <w:r w:rsidRPr="008D5588">
        <w:rPr>
          <w:rFonts w:eastAsiaTheme="minorEastAsia"/>
          <w:sz w:val="20"/>
          <w:szCs w:val="20"/>
        </w:rPr>
        <w:t>Endure brutality of a sexual nature (link to definitions section of Title IX)</w:t>
      </w:r>
    </w:p>
    <w:p w:rsidR="008D5588" w:rsidRPr="008D5588" w:rsidRDefault="008D5588" w:rsidP="008D5588">
      <w:pPr>
        <w:numPr>
          <w:ilvl w:val="0"/>
          <w:numId w:val="1"/>
        </w:numPr>
        <w:spacing w:before="100" w:after="200" w:line="276" w:lineRule="auto"/>
        <w:contextualSpacing/>
        <w:jc w:val="both"/>
        <w:rPr>
          <w:rFonts w:eastAsiaTheme="minorEastAsia"/>
          <w:sz w:val="20"/>
          <w:szCs w:val="20"/>
        </w:rPr>
      </w:pPr>
      <w:r w:rsidRPr="008D5588">
        <w:rPr>
          <w:rFonts w:eastAsiaTheme="minorEastAsia"/>
          <w:sz w:val="20"/>
          <w:szCs w:val="20"/>
        </w:rPr>
        <w:t>Endure any other activity that creates a reasonable likelihood of bodily injury to the student.</w:t>
      </w:r>
    </w:p>
    <w:p w:rsidR="008D5588" w:rsidRPr="008D5588" w:rsidRDefault="008D5588" w:rsidP="008D5588">
      <w:pPr>
        <w:spacing w:before="100" w:after="200" w:line="276" w:lineRule="auto"/>
        <w:rPr>
          <w:rFonts w:eastAsiaTheme="minorEastAsia"/>
          <w:sz w:val="20"/>
          <w:szCs w:val="20"/>
        </w:rPr>
      </w:pPr>
      <w:r w:rsidRPr="008D5588">
        <w:rPr>
          <w:rFonts w:eastAsiaTheme="minorEastAsia"/>
          <w:sz w:val="20"/>
          <w:szCs w:val="20"/>
        </w:rPr>
        <w:t>The above types of behavior will be considered hazing even if the student consents to the activity or if the conduct was sanctioned by the club, organization, or athletic team.</w:t>
      </w:r>
    </w:p>
    <w:p w:rsidR="008D5588" w:rsidRPr="008D5588" w:rsidRDefault="008D5588" w:rsidP="008D5588">
      <w:pPr>
        <w:spacing w:before="100" w:after="200" w:line="276" w:lineRule="auto"/>
        <w:rPr>
          <w:rFonts w:eastAsiaTheme="minorEastAsia"/>
          <w:sz w:val="20"/>
          <w:szCs w:val="20"/>
        </w:rPr>
      </w:pPr>
      <w:r w:rsidRPr="008D5588">
        <w:rPr>
          <w:rFonts w:eastAsiaTheme="minorEastAsia"/>
          <w:sz w:val="20"/>
          <w:szCs w:val="20"/>
        </w:rPr>
        <w:t xml:space="preserve">* See PA State Law: </w:t>
      </w:r>
      <w:hyperlink r:id="rId6" w:history="1">
        <w:r w:rsidRPr="008D5588">
          <w:rPr>
            <w:rFonts w:eastAsiaTheme="minorEastAsia"/>
            <w:color w:val="0563C1" w:themeColor="hyperlink"/>
            <w:sz w:val="20"/>
            <w:szCs w:val="20"/>
            <w:u w:val="single"/>
          </w:rPr>
          <w:t xml:space="preserve">Timothy J. Piazza </w:t>
        </w:r>
        <w:proofErr w:type="spellStart"/>
        <w:r w:rsidRPr="008D5588">
          <w:rPr>
            <w:rFonts w:eastAsiaTheme="minorEastAsia"/>
            <w:color w:val="0563C1" w:themeColor="hyperlink"/>
            <w:sz w:val="20"/>
            <w:szCs w:val="20"/>
            <w:u w:val="single"/>
          </w:rPr>
          <w:t>Antihazing</w:t>
        </w:r>
        <w:proofErr w:type="spellEnd"/>
        <w:r w:rsidRPr="008D5588">
          <w:rPr>
            <w:rFonts w:eastAsiaTheme="minorEastAsia"/>
            <w:color w:val="0563C1" w:themeColor="hyperlink"/>
            <w:sz w:val="20"/>
            <w:szCs w:val="20"/>
            <w:u w:val="single"/>
          </w:rPr>
          <w:t xml:space="preserve"> Law</w:t>
        </w:r>
      </w:hyperlink>
    </w:p>
    <w:p w:rsidR="008D5588" w:rsidRPr="008D5588" w:rsidRDefault="008D5588" w:rsidP="008D5588">
      <w:pPr>
        <w:pBdr>
          <w:top w:val="dotted" w:sz="6" w:space="2" w:color="5B9BD5" w:themeColor="accent1"/>
        </w:pBdr>
        <w:spacing w:before="200" w:after="0" w:line="276" w:lineRule="auto"/>
        <w:outlineLvl w:val="3"/>
        <w:rPr>
          <w:rFonts w:eastAsiaTheme="minorEastAsia"/>
          <w:caps/>
          <w:color w:val="2E74B5" w:themeColor="accent1" w:themeShade="BF"/>
          <w:spacing w:val="10"/>
          <w:sz w:val="20"/>
          <w:szCs w:val="20"/>
        </w:rPr>
      </w:pPr>
      <w:bookmarkStart w:id="5" w:name="_Toc534984184"/>
      <w:r w:rsidRPr="008D5588">
        <w:rPr>
          <w:rFonts w:eastAsiaTheme="minorEastAsia"/>
          <w:caps/>
          <w:color w:val="2E74B5" w:themeColor="accent1" w:themeShade="BF"/>
          <w:spacing w:val="10"/>
          <w:sz w:val="20"/>
          <w:szCs w:val="20"/>
        </w:rPr>
        <w:t>Aggravated Hazing</w:t>
      </w:r>
      <w:bookmarkEnd w:id="5"/>
    </w:p>
    <w:p w:rsidR="008D5588" w:rsidRPr="008D5588" w:rsidRDefault="008D5588" w:rsidP="008D5588">
      <w:pPr>
        <w:spacing w:before="100" w:after="200" w:line="276" w:lineRule="auto"/>
        <w:jc w:val="both"/>
        <w:rPr>
          <w:rFonts w:eastAsiaTheme="minorEastAsia"/>
          <w:sz w:val="20"/>
          <w:szCs w:val="20"/>
        </w:rPr>
      </w:pPr>
      <w:r w:rsidRPr="008D5588">
        <w:rPr>
          <w:rFonts w:eastAsiaTheme="minorEastAsia"/>
          <w:sz w:val="20"/>
          <w:szCs w:val="20"/>
        </w:rPr>
        <w:t>Aggravated Hazing is defined by Pennsylvania law*, and for purposes of this Policy, as follows:</w:t>
      </w:r>
    </w:p>
    <w:p w:rsidR="008D5588" w:rsidRPr="008D5588" w:rsidRDefault="008D5588" w:rsidP="008D5588">
      <w:pPr>
        <w:spacing w:before="100" w:after="200" w:line="276" w:lineRule="auto"/>
        <w:jc w:val="both"/>
        <w:rPr>
          <w:rFonts w:eastAsiaTheme="minorEastAsia"/>
          <w:sz w:val="20"/>
          <w:szCs w:val="20"/>
        </w:rPr>
      </w:pPr>
      <w:r w:rsidRPr="008D5588">
        <w:rPr>
          <w:rFonts w:eastAsiaTheme="minorEastAsia"/>
          <w:sz w:val="20"/>
          <w:szCs w:val="20"/>
        </w:rPr>
        <w:t>A person, club, organization or athletic team commits aggravated hazing when the hazing results in serious bodily injury or death to a student and:</w:t>
      </w:r>
    </w:p>
    <w:p w:rsidR="008D5588" w:rsidRPr="008D5588" w:rsidRDefault="008D5588" w:rsidP="008D5588">
      <w:pPr>
        <w:numPr>
          <w:ilvl w:val="0"/>
          <w:numId w:val="2"/>
        </w:numPr>
        <w:spacing w:before="100" w:after="200" w:line="276" w:lineRule="auto"/>
        <w:contextualSpacing/>
        <w:jc w:val="both"/>
        <w:rPr>
          <w:rFonts w:eastAsiaTheme="minorEastAsia"/>
          <w:sz w:val="20"/>
          <w:szCs w:val="20"/>
        </w:rPr>
      </w:pPr>
      <w:r w:rsidRPr="008D5588">
        <w:rPr>
          <w:rFonts w:eastAsiaTheme="minorEastAsia"/>
          <w:sz w:val="20"/>
          <w:szCs w:val="20"/>
        </w:rPr>
        <w:t>the person, club, organization, or athletic team acts with reckless indifference to the health and safety of a student; or</w:t>
      </w:r>
    </w:p>
    <w:p w:rsidR="008D5588" w:rsidRPr="008D5588" w:rsidRDefault="008D5588" w:rsidP="008D5588">
      <w:pPr>
        <w:numPr>
          <w:ilvl w:val="0"/>
          <w:numId w:val="2"/>
        </w:numPr>
        <w:spacing w:before="100" w:after="200" w:line="276" w:lineRule="auto"/>
        <w:contextualSpacing/>
        <w:jc w:val="both"/>
        <w:rPr>
          <w:rFonts w:eastAsiaTheme="minorEastAsia"/>
          <w:sz w:val="20"/>
          <w:szCs w:val="20"/>
        </w:rPr>
      </w:pPr>
      <w:proofErr w:type="gramStart"/>
      <w:r w:rsidRPr="008D5588">
        <w:rPr>
          <w:rFonts w:eastAsiaTheme="minorEastAsia"/>
          <w:sz w:val="20"/>
          <w:szCs w:val="20"/>
        </w:rPr>
        <w:t>the</w:t>
      </w:r>
      <w:proofErr w:type="gramEnd"/>
      <w:r w:rsidRPr="008D5588">
        <w:rPr>
          <w:rFonts w:eastAsiaTheme="minorEastAsia"/>
          <w:sz w:val="20"/>
          <w:szCs w:val="20"/>
        </w:rPr>
        <w:t xml:space="preserve"> person, club, organization, or athletic team causes, coerces for forces the consumption of an alcoholic liquid or drug by the student. </w:t>
      </w:r>
    </w:p>
    <w:p w:rsidR="008D5588" w:rsidRPr="008D5588" w:rsidRDefault="008D5588" w:rsidP="008D5588">
      <w:pPr>
        <w:spacing w:before="100" w:after="200" w:line="276" w:lineRule="auto"/>
        <w:jc w:val="both"/>
        <w:rPr>
          <w:rFonts w:eastAsiaTheme="minorEastAsia"/>
          <w:sz w:val="20"/>
          <w:szCs w:val="20"/>
        </w:rPr>
      </w:pPr>
      <w:r w:rsidRPr="008D5588">
        <w:rPr>
          <w:rFonts w:eastAsiaTheme="minorEastAsia"/>
          <w:sz w:val="20"/>
          <w:szCs w:val="20"/>
        </w:rPr>
        <w:lastRenderedPageBreak/>
        <w:t>(</w:t>
      </w:r>
      <w:r w:rsidRPr="008D5588">
        <w:rPr>
          <w:rFonts w:eastAsiaTheme="minorEastAsia"/>
          <w:sz w:val="20"/>
          <w:szCs w:val="20"/>
          <w:u w:val="single"/>
        </w:rPr>
        <w:t>Note:</w:t>
      </w:r>
      <w:r w:rsidRPr="008D5588">
        <w:rPr>
          <w:rFonts w:eastAsiaTheme="minorEastAsia"/>
          <w:sz w:val="20"/>
          <w:szCs w:val="20"/>
        </w:rPr>
        <w:t xml:space="preserve"> Aggravated hazing is a felony of the third degree and will automatically result in the University contacting local law enforcement as well as utilizing the University Conduct System.  The University retains the right to contact law enforcement in all hazing incidents.)</w:t>
      </w:r>
    </w:p>
    <w:p w:rsidR="008D5588" w:rsidRPr="008D5588" w:rsidRDefault="008D5588" w:rsidP="008D5588">
      <w:pPr>
        <w:spacing w:before="100" w:after="200" w:line="276" w:lineRule="auto"/>
        <w:rPr>
          <w:rFonts w:eastAsiaTheme="minorEastAsia"/>
          <w:sz w:val="20"/>
          <w:szCs w:val="20"/>
        </w:rPr>
      </w:pPr>
      <w:r w:rsidRPr="008D5588">
        <w:rPr>
          <w:rFonts w:eastAsiaTheme="minorEastAsia"/>
          <w:sz w:val="20"/>
          <w:szCs w:val="20"/>
        </w:rPr>
        <w:t xml:space="preserve">* See PA State Law: </w:t>
      </w:r>
      <w:hyperlink r:id="rId7" w:history="1">
        <w:r w:rsidRPr="008D5588">
          <w:rPr>
            <w:rFonts w:eastAsiaTheme="minorEastAsia"/>
            <w:color w:val="0563C1" w:themeColor="hyperlink"/>
            <w:sz w:val="20"/>
            <w:szCs w:val="20"/>
            <w:u w:val="single"/>
          </w:rPr>
          <w:t xml:space="preserve">Timothy J. Piazza </w:t>
        </w:r>
        <w:proofErr w:type="spellStart"/>
        <w:r w:rsidRPr="008D5588">
          <w:rPr>
            <w:rFonts w:eastAsiaTheme="minorEastAsia"/>
            <w:color w:val="0563C1" w:themeColor="hyperlink"/>
            <w:sz w:val="20"/>
            <w:szCs w:val="20"/>
            <w:u w:val="single"/>
          </w:rPr>
          <w:t>Antihazing</w:t>
        </w:r>
        <w:proofErr w:type="spellEnd"/>
        <w:r w:rsidRPr="008D5588">
          <w:rPr>
            <w:rFonts w:eastAsiaTheme="minorEastAsia"/>
            <w:color w:val="0563C1" w:themeColor="hyperlink"/>
            <w:sz w:val="20"/>
            <w:szCs w:val="20"/>
            <w:u w:val="single"/>
          </w:rPr>
          <w:t xml:space="preserve"> Law</w:t>
        </w:r>
      </w:hyperlink>
    </w:p>
    <w:p w:rsidR="008D5588" w:rsidRPr="008D5588" w:rsidRDefault="008D5588" w:rsidP="008D5588">
      <w:pPr>
        <w:pBdr>
          <w:top w:val="dotted" w:sz="6" w:space="2" w:color="5B9BD5" w:themeColor="accent1"/>
        </w:pBdr>
        <w:spacing w:before="200" w:after="0" w:line="276" w:lineRule="auto"/>
        <w:outlineLvl w:val="3"/>
        <w:rPr>
          <w:rFonts w:eastAsiaTheme="minorEastAsia"/>
          <w:caps/>
          <w:color w:val="2E74B5" w:themeColor="accent1" w:themeShade="BF"/>
          <w:spacing w:val="10"/>
          <w:sz w:val="20"/>
          <w:szCs w:val="20"/>
        </w:rPr>
      </w:pPr>
      <w:bookmarkStart w:id="6" w:name="_Toc534984185"/>
      <w:r w:rsidRPr="008D5588">
        <w:rPr>
          <w:rFonts w:eastAsiaTheme="minorEastAsia"/>
          <w:caps/>
          <w:color w:val="2E74B5" w:themeColor="accent1" w:themeShade="BF"/>
          <w:spacing w:val="10"/>
          <w:sz w:val="20"/>
          <w:szCs w:val="20"/>
        </w:rPr>
        <w:t>Organizational Hazing</w:t>
      </w:r>
      <w:bookmarkEnd w:id="6"/>
    </w:p>
    <w:p w:rsidR="008D5588" w:rsidRPr="008D5588" w:rsidRDefault="008D5588" w:rsidP="008D5588">
      <w:pPr>
        <w:spacing w:before="100" w:after="200" w:line="276" w:lineRule="auto"/>
        <w:jc w:val="both"/>
        <w:rPr>
          <w:rFonts w:eastAsiaTheme="minorEastAsia"/>
          <w:sz w:val="20"/>
          <w:szCs w:val="20"/>
        </w:rPr>
      </w:pPr>
      <w:r w:rsidRPr="008D5588">
        <w:rPr>
          <w:rFonts w:eastAsiaTheme="minorEastAsia"/>
          <w:sz w:val="20"/>
          <w:szCs w:val="20"/>
        </w:rPr>
        <w:t xml:space="preserve">An organization, club, or athletic team that intentionally, knowingly or recklessly promotes or facilitates hazing or aggravated hazing commits the offense of organizational hazing and will be held accountable by the University.  Organizational hazing is also </w:t>
      </w:r>
      <w:proofErr w:type="spellStart"/>
      <w:r w:rsidRPr="008D5588">
        <w:rPr>
          <w:rFonts w:eastAsiaTheme="minorEastAsia"/>
          <w:sz w:val="20"/>
          <w:szCs w:val="20"/>
        </w:rPr>
        <w:t>violative</w:t>
      </w:r>
      <w:proofErr w:type="spellEnd"/>
      <w:r w:rsidRPr="008D5588">
        <w:rPr>
          <w:rFonts w:eastAsiaTheme="minorEastAsia"/>
          <w:sz w:val="20"/>
          <w:szCs w:val="20"/>
        </w:rPr>
        <w:t xml:space="preserve"> of Pennsylvania law*, and subject to penalties as set forth in the law.  </w:t>
      </w:r>
    </w:p>
    <w:p w:rsidR="008D5588" w:rsidRPr="008D5588" w:rsidRDefault="008D5588" w:rsidP="008D5588">
      <w:pPr>
        <w:spacing w:before="100" w:after="200" w:line="276" w:lineRule="auto"/>
        <w:rPr>
          <w:rFonts w:eastAsiaTheme="minorEastAsia"/>
          <w:sz w:val="20"/>
          <w:szCs w:val="20"/>
        </w:rPr>
      </w:pPr>
      <w:r w:rsidRPr="008D5588">
        <w:rPr>
          <w:rFonts w:eastAsiaTheme="minorEastAsia"/>
          <w:sz w:val="20"/>
          <w:szCs w:val="20"/>
        </w:rPr>
        <w:t xml:space="preserve">* See PA State Law: </w:t>
      </w:r>
      <w:hyperlink r:id="rId8" w:history="1">
        <w:r w:rsidRPr="008D5588">
          <w:rPr>
            <w:rFonts w:eastAsiaTheme="minorEastAsia"/>
            <w:color w:val="0563C1" w:themeColor="hyperlink"/>
            <w:sz w:val="20"/>
            <w:szCs w:val="20"/>
            <w:u w:val="single"/>
          </w:rPr>
          <w:t xml:space="preserve">Timothy J. Piazza </w:t>
        </w:r>
        <w:proofErr w:type="spellStart"/>
        <w:r w:rsidRPr="008D5588">
          <w:rPr>
            <w:rFonts w:eastAsiaTheme="minorEastAsia"/>
            <w:color w:val="0563C1" w:themeColor="hyperlink"/>
            <w:sz w:val="20"/>
            <w:szCs w:val="20"/>
            <w:u w:val="single"/>
          </w:rPr>
          <w:t>Antihazing</w:t>
        </w:r>
        <w:proofErr w:type="spellEnd"/>
        <w:r w:rsidRPr="008D5588">
          <w:rPr>
            <w:rFonts w:eastAsiaTheme="minorEastAsia"/>
            <w:color w:val="0563C1" w:themeColor="hyperlink"/>
            <w:sz w:val="20"/>
            <w:szCs w:val="20"/>
            <w:u w:val="single"/>
          </w:rPr>
          <w:t xml:space="preserve"> Law</w:t>
        </w:r>
      </w:hyperlink>
    </w:p>
    <w:p w:rsidR="008D5588" w:rsidRPr="008D5588" w:rsidRDefault="008D5588" w:rsidP="008D5588">
      <w:pPr>
        <w:pBdr>
          <w:top w:val="single" w:sz="6" w:space="2" w:color="5B9BD5" w:themeColor="accent1"/>
        </w:pBdr>
        <w:spacing w:before="300" w:after="0" w:line="276" w:lineRule="auto"/>
        <w:outlineLvl w:val="2"/>
        <w:rPr>
          <w:rFonts w:eastAsiaTheme="minorEastAsia"/>
          <w:caps/>
          <w:color w:val="1F4D78" w:themeColor="accent1" w:themeShade="7F"/>
          <w:spacing w:val="15"/>
          <w:sz w:val="20"/>
          <w:szCs w:val="20"/>
        </w:rPr>
      </w:pPr>
      <w:bookmarkStart w:id="7" w:name="_Toc534984186"/>
      <w:r w:rsidRPr="008D5588">
        <w:rPr>
          <w:rFonts w:eastAsiaTheme="minorEastAsia"/>
          <w:caps/>
          <w:color w:val="1F4D78" w:themeColor="accent1" w:themeShade="7F"/>
          <w:spacing w:val="15"/>
          <w:sz w:val="20"/>
          <w:szCs w:val="20"/>
        </w:rPr>
        <w:t>Sanctions</w:t>
      </w:r>
      <w:bookmarkEnd w:id="7"/>
    </w:p>
    <w:p w:rsidR="008D5588" w:rsidRPr="008D5588" w:rsidRDefault="008D5588" w:rsidP="008D5588">
      <w:pPr>
        <w:spacing w:before="100" w:after="200" w:line="276" w:lineRule="auto"/>
        <w:jc w:val="both"/>
        <w:rPr>
          <w:rFonts w:eastAsiaTheme="minorEastAsia"/>
          <w:sz w:val="20"/>
          <w:szCs w:val="20"/>
        </w:rPr>
      </w:pPr>
      <w:r w:rsidRPr="008D5588">
        <w:rPr>
          <w:rFonts w:eastAsiaTheme="minorEastAsia"/>
          <w:sz w:val="20"/>
          <w:szCs w:val="20"/>
        </w:rPr>
        <w:t xml:space="preserve">Individuals and/or clubs, organizations or athletic teams can be found responsible for hazing or aggravated hazing.  The following is a list of sanctions that can be applied by the University if a violation of this policy occurs: </w:t>
      </w:r>
    </w:p>
    <w:p w:rsidR="008D5588" w:rsidRPr="008D5588" w:rsidRDefault="008D5588" w:rsidP="008D5588">
      <w:pPr>
        <w:numPr>
          <w:ilvl w:val="0"/>
          <w:numId w:val="3"/>
        </w:numPr>
        <w:spacing w:before="100" w:after="200" w:line="276" w:lineRule="auto"/>
        <w:contextualSpacing/>
        <w:jc w:val="both"/>
        <w:rPr>
          <w:rFonts w:eastAsiaTheme="minorEastAsia"/>
          <w:sz w:val="20"/>
          <w:szCs w:val="20"/>
        </w:rPr>
      </w:pPr>
      <w:r w:rsidRPr="008D5588">
        <w:rPr>
          <w:rFonts w:eastAsiaTheme="minorEastAsia"/>
          <w:sz w:val="20"/>
          <w:szCs w:val="20"/>
        </w:rPr>
        <w:t>Educational Sanctions (link to list of educational sanctions)</w:t>
      </w:r>
    </w:p>
    <w:p w:rsidR="008D5588" w:rsidRPr="008D5588" w:rsidRDefault="008D5588" w:rsidP="008D5588">
      <w:pPr>
        <w:numPr>
          <w:ilvl w:val="0"/>
          <w:numId w:val="3"/>
        </w:numPr>
        <w:spacing w:before="100" w:after="200" w:line="276" w:lineRule="auto"/>
        <w:contextualSpacing/>
        <w:jc w:val="both"/>
        <w:rPr>
          <w:rFonts w:eastAsiaTheme="minorEastAsia"/>
          <w:sz w:val="20"/>
          <w:szCs w:val="20"/>
        </w:rPr>
      </w:pPr>
      <w:r w:rsidRPr="008D5588">
        <w:rPr>
          <w:rFonts w:eastAsiaTheme="minorEastAsia"/>
          <w:sz w:val="20"/>
          <w:szCs w:val="20"/>
        </w:rPr>
        <w:t>Status Sanctions (link to list of status sanctions)</w:t>
      </w:r>
    </w:p>
    <w:p w:rsidR="008D5588" w:rsidRPr="008D5588" w:rsidRDefault="008D5588" w:rsidP="008D5588">
      <w:pPr>
        <w:numPr>
          <w:ilvl w:val="0"/>
          <w:numId w:val="3"/>
        </w:numPr>
        <w:spacing w:before="100" w:after="200" w:line="276" w:lineRule="auto"/>
        <w:contextualSpacing/>
        <w:jc w:val="both"/>
        <w:rPr>
          <w:rFonts w:eastAsiaTheme="minorEastAsia"/>
          <w:sz w:val="20"/>
          <w:szCs w:val="20"/>
        </w:rPr>
      </w:pPr>
      <w:r w:rsidRPr="008D5588">
        <w:rPr>
          <w:rFonts w:eastAsiaTheme="minorEastAsia"/>
          <w:sz w:val="20"/>
          <w:szCs w:val="20"/>
        </w:rPr>
        <w:t>Club, Organization or Athletic Team Probation</w:t>
      </w:r>
    </w:p>
    <w:p w:rsidR="008D5588" w:rsidRPr="008D5588" w:rsidRDefault="008D5588" w:rsidP="008D5588">
      <w:pPr>
        <w:numPr>
          <w:ilvl w:val="0"/>
          <w:numId w:val="3"/>
        </w:numPr>
        <w:spacing w:before="100" w:after="200" w:line="276" w:lineRule="auto"/>
        <w:contextualSpacing/>
        <w:jc w:val="both"/>
        <w:rPr>
          <w:rFonts w:eastAsiaTheme="minorEastAsia"/>
          <w:sz w:val="20"/>
          <w:szCs w:val="20"/>
        </w:rPr>
      </w:pPr>
      <w:r w:rsidRPr="008D5588">
        <w:rPr>
          <w:rFonts w:eastAsiaTheme="minorEastAsia"/>
          <w:sz w:val="20"/>
          <w:szCs w:val="20"/>
        </w:rPr>
        <w:t xml:space="preserve">Club, Organization or Athletic Team Suspension </w:t>
      </w:r>
    </w:p>
    <w:p w:rsidR="008D5588" w:rsidRPr="008D5588" w:rsidRDefault="008D5588" w:rsidP="008D5588">
      <w:pPr>
        <w:numPr>
          <w:ilvl w:val="0"/>
          <w:numId w:val="3"/>
        </w:numPr>
        <w:spacing w:before="100" w:after="200" w:line="276" w:lineRule="auto"/>
        <w:contextualSpacing/>
        <w:jc w:val="both"/>
        <w:rPr>
          <w:rFonts w:eastAsiaTheme="minorEastAsia"/>
          <w:sz w:val="20"/>
          <w:szCs w:val="20"/>
        </w:rPr>
      </w:pPr>
      <w:r w:rsidRPr="008D5588">
        <w:rPr>
          <w:rFonts w:eastAsiaTheme="minorEastAsia"/>
          <w:sz w:val="20"/>
          <w:szCs w:val="20"/>
        </w:rPr>
        <w:t>Revocation of the club or organization charter</w:t>
      </w:r>
    </w:p>
    <w:p w:rsidR="008D5588" w:rsidRPr="008D5588" w:rsidRDefault="008D5588" w:rsidP="008D5588">
      <w:pPr>
        <w:spacing w:before="100" w:after="200" w:line="276" w:lineRule="auto"/>
        <w:jc w:val="both"/>
        <w:rPr>
          <w:rFonts w:eastAsiaTheme="minorEastAsia"/>
          <w:b/>
          <w:sz w:val="20"/>
          <w:szCs w:val="20"/>
          <w:u w:val="single"/>
        </w:rPr>
      </w:pPr>
      <w:r w:rsidRPr="008D5588">
        <w:rPr>
          <w:rFonts w:eastAsiaTheme="minorEastAsia"/>
          <w:sz w:val="20"/>
          <w:szCs w:val="20"/>
        </w:rPr>
        <w:t xml:space="preserve">This listing does </w:t>
      </w:r>
      <w:r w:rsidRPr="008D5588">
        <w:rPr>
          <w:rFonts w:eastAsiaTheme="minorEastAsia"/>
          <w:sz w:val="20"/>
          <w:szCs w:val="20"/>
          <w:u w:val="single"/>
        </w:rPr>
        <w:t>not</w:t>
      </w:r>
      <w:r w:rsidRPr="008D5588">
        <w:rPr>
          <w:rFonts w:eastAsiaTheme="minorEastAsia"/>
          <w:sz w:val="20"/>
          <w:szCs w:val="20"/>
        </w:rPr>
        <w:t xml:space="preserve"> include those sanctions that an individual, club, organization, or athletic team could also be subject to pursuant to law, including, but not limited to, the Pennsylvania </w:t>
      </w:r>
      <w:proofErr w:type="spellStart"/>
      <w:r w:rsidRPr="008D5588">
        <w:rPr>
          <w:rFonts w:eastAsiaTheme="minorEastAsia"/>
          <w:sz w:val="20"/>
          <w:szCs w:val="20"/>
        </w:rPr>
        <w:t>Antihazing</w:t>
      </w:r>
      <w:proofErr w:type="spellEnd"/>
      <w:r w:rsidRPr="008D5588">
        <w:rPr>
          <w:rFonts w:eastAsiaTheme="minorEastAsia"/>
          <w:sz w:val="20"/>
          <w:szCs w:val="20"/>
        </w:rPr>
        <w:t xml:space="preserve"> Law, 18 </w:t>
      </w:r>
      <w:proofErr w:type="spellStart"/>
      <w:r w:rsidRPr="008D5588">
        <w:rPr>
          <w:rFonts w:eastAsiaTheme="minorEastAsia"/>
          <w:sz w:val="20"/>
          <w:szCs w:val="20"/>
        </w:rPr>
        <w:t>Pa.C.S</w:t>
      </w:r>
      <w:proofErr w:type="spellEnd"/>
      <w:r w:rsidRPr="008D5588">
        <w:rPr>
          <w:rFonts w:eastAsiaTheme="minorEastAsia"/>
          <w:sz w:val="20"/>
          <w:szCs w:val="20"/>
        </w:rPr>
        <w:t xml:space="preserve">. § 2801, </w:t>
      </w:r>
      <w:r w:rsidRPr="008D5588">
        <w:rPr>
          <w:rFonts w:eastAsiaTheme="minorEastAsia"/>
          <w:sz w:val="20"/>
          <w:szCs w:val="20"/>
          <w:u w:val="single"/>
        </w:rPr>
        <w:t>et</w:t>
      </w:r>
      <w:r w:rsidRPr="008D5588">
        <w:rPr>
          <w:rFonts w:eastAsiaTheme="minorEastAsia"/>
          <w:sz w:val="20"/>
          <w:szCs w:val="20"/>
        </w:rPr>
        <w:t xml:space="preserve"> </w:t>
      </w:r>
      <w:r w:rsidRPr="008D5588">
        <w:rPr>
          <w:rFonts w:eastAsiaTheme="minorEastAsia"/>
          <w:sz w:val="20"/>
          <w:szCs w:val="20"/>
          <w:u w:val="single"/>
        </w:rPr>
        <w:t>seq</w:t>
      </w:r>
      <w:r w:rsidRPr="008D5588">
        <w:rPr>
          <w:rFonts w:eastAsiaTheme="minorEastAsia"/>
          <w:sz w:val="20"/>
          <w:szCs w:val="20"/>
        </w:rPr>
        <w:t>.</w:t>
      </w:r>
    </w:p>
    <w:p w:rsidR="008D5588" w:rsidRPr="008D5588" w:rsidRDefault="008D5588" w:rsidP="008D5588">
      <w:pPr>
        <w:pBdr>
          <w:top w:val="single" w:sz="6" w:space="2" w:color="5B9BD5" w:themeColor="accent1"/>
        </w:pBdr>
        <w:spacing w:before="300" w:after="0" w:line="276" w:lineRule="auto"/>
        <w:outlineLvl w:val="2"/>
        <w:rPr>
          <w:rFonts w:eastAsiaTheme="minorEastAsia"/>
          <w:caps/>
          <w:color w:val="1F4D78" w:themeColor="accent1" w:themeShade="7F"/>
          <w:spacing w:val="15"/>
          <w:sz w:val="20"/>
          <w:szCs w:val="20"/>
        </w:rPr>
      </w:pPr>
      <w:bookmarkStart w:id="8" w:name="_Toc534984187"/>
      <w:r w:rsidRPr="008D5588">
        <w:rPr>
          <w:rFonts w:eastAsiaTheme="minorEastAsia"/>
          <w:caps/>
          <w:color w:val="1F4D78" w:themeColor="accent1" w:themeShade="7F"/>
          <w:spacing w:val="15"/>
          <w:sz w:val="20"/>
          <w:szCs w:val="20"/>
        </w:rPr>
        <w:t>Safe Harbor</w:t>
      </w:r>
      <w:bookmarkEnd w:id="8"/>
    </w:p>
    <w:p w:rsidR="008D5588" w:rsidRPr="008D5588" w:rsidRDefault="008D5588" w:rsidP="008D5588">
      <w:pPr>
        <w:spacing w:before="100" w:after="200" w:line="276" w:lineRule="auto"/>
        <w:rPr>
          <w:rFonts w:eastAsiaTheme="minorEastAsia"/>
          <w:sz w:val="20"/>
          <w:szCs w:val="20"/>
        </w:rPr>
      </w:pPr>
      <w:r w:rsidRPr="008D5588">
        <w:rPr>
          <w:rFonts w:eastAsiaTheme="minorEastAsia"/>
          <w:sz w:val="20"/>
          <w:szCs w:val="20"/>
        </w:rPr>
        <w:t>Under certain specific conditions, and consistent with PA state law, when a student seeks medical assistance for another student who is believed to be in need of immediate medical attention to prevent death or serious bodily injury due to hazing, neither the student who is in need of medical attention nor the student who has reported it will be charged with violations of the Anti-Hazing policy.</w:t>
      </w:r>
    </w:p>
    <w:p w:rsidR="008D5588" w:rsidRPr="008D5588" w:rsidRDefault="008D5588" w:rsidP="008D5588">
      <w:pPr>
        <w:spacing w:after="200" w:line="276" w:lineRule="auto"/>
        <w:rPr>
          <w:rFonts w:eastAsiaTheme="minorEastAsia"/>
          <w:sz w:val="20"/>
          <w:szCs w:val="20"/>
        </w:rPr>
      </w:pPr>
      <w:r w:rsidRPr="008D5588">
        <w:rPr>
          <w:rFonts w:eastAsiaTheme="minorEastAsia"/>
          <w:sz w:val="20"/>
          <w:szCs w:val="20"/>
        </w:rPr>
        <w:t xml:space="preserve">See </w:t>
      </w:r>
      <w:r w:rsidRPr="008D5588">
        <w:rPr>
          <w:rFonts w:eastAsiaTheme="minorEastAsia"/>
          <w:i/>
          <w:sz w:val="20"/>
          <w:szCs w:val="20"/>
        </w:rPr>
        <w:fldChar w:fldCharType="begin"/>
      </w:r>
      <w:r w:rsidRPr="008D5588">
        <w:rPr>
          <w:rFonts w:eastAsiaTheme="minorEastAsia"/>
          <w:i/>
          <w:sz w:val="20"/>
          <w:szCs w:val="20"/>
        </w:rPr>
        <w:instrText xml:space="preserve"> REF _Ref534983990 \h  \* MERGEFORMAT </w:instrText>
      </w:r>
      <w:r w:rsidRPr="008D5588">
        <w:rPr>
          <w:rFonts w:eastAsiaTheme="minorEastAsia"/>
          <w:i/>
          <w:sz w:val="20"/>
          <w:szCs w:val="20"/>
        </w:rPr>
      </w:r>
      <w:r w:rsidRPr="008D5588">
        <w:rPr>
          <w:rFonts w:eastAsiaTheme="minorEastAsia"/>
          <w:i/>
          <w:sz w:val="20"/>
          <w:szCs w:val="20"/>
        </w:rPr>
        <w:fldChar w:fldCharType="separate"/>
      </w:r>
      <w:r w:rsidRPr="008D5588">
        <w:rPr>
          <w:rFonts w:eastAsiaTheme="minorEastAsia"/>
          <w:i/>
          <w:sz w:val="20"/>
          <w:szCs w:val="20"/>
        </w:rPr>
        <w:t>Amnesty Policy for Medical Emergencies involving Drugs/Alcohol/Hazing</w:t>
      </w:r>
      <w:r w:rsidRPr="008D5588">
        <w:rPr>
          <w:rFonts w:eastAsiaTheme="minorEastAsia"/>
          <w:i/>
          <w:sz w:val="20"/>
          <w:szCs w:val="20"/>
        </w:rPr>
        <w:fldChar w:fldCharType="end"/>
      </w:r>
      <w:r w:rsidRPr="008D5588">
        <w:rPr>
          <w:rFonts w:eastAsiaTheme="minorEastAsia"/>
          <w:sz w:val="20"/>
          <w:szCs w:val="20"/>
        </w:rPr>
        <w:t xml:space="preserve"> for more information.</w:t>
      </w:r>
    </w:p>
    <w:p w:rsidR="008D5588" w:rsidRPr="008D5588" w:rsidRDefault="008D5588" w:rsidP="008D5588">
      <w:pPr>
        <w:spacing w:after="200" w:line="276" w:lineRule="auto"/>
        <w:rPr>
          <w:rFonts w:eastAsiaTheme="minorEastAsia"/>
          <w:sz w:val="20"/>
          <w:szCs w:val="20"/>
        </w:rPr>
      </w:pPr>
      <w:r w:rsidRPr="008D5588">
        <w:rPr>
          <w:rFonts w:eastAsiaTheme="minorEastAsia"/>
          <w:sz w:val="20"/>
          <w:szCs w:val="20"/>
        </w:rPr>
        <w:t xml:space="preserve">See </w:t>
      </w:r>
      <w:r w:rsidRPr="008D5588">
        <w:rPr>
          <w:rFonts w:eastAsiaTheme="minorEastAsia"/>
          <w:i/>
          <w:sz w:val="20"/>
          <w:szCs w:val="20"/>
        </w:rPr>
        <w:fldChar w:fldCharType="begin"/>
      </w:r>
      <w:r w:rsidRPr="008D5588">
        <w:rPr>
          <w:rFonts w:eastAsiaTheme="minorEastAsia"/>
          <w:i/>
          <w:sz w:val="20"/>
          <w:szCs w:val="20"/>
        </w:rPr>
        <w:instrText xml:space="preserve"> REF _Ref534984474 \h  \* MERGEFORMAT </w:instrText>
      </w:r>
      <w:r w:rsidRPr="008D5588">
        <w:rPr>
          <w:rFonts w:eastAsiaTheme="minorEastAsia"/>
          <w:i/>
          <w:sz w:val="20"/>
          <w:szCs w:val="20"/>
        </w:rPr>
      </w:r>
      <w:r w:rsidRPr="008D5588">
        <w:rPr>
          <w:rFonts w:eastAsiaTheme="minorEastAsia"/>
          <w:i/>
          <w:sz w:val="20"/>
          <w:szCs w:val="20"/>
        </w:rPr>
        <w:fldChar w:fldCharType="separate"/>
      </w:r>
      <w:r w:rsidRPr="008D5588">
        <w:rPr>
          <w:rFonts w:eastAsiaTheme="minorEastAsia"/>
          <w:i/>
          <w:sz w:val="20"/>
          <w:szCs w:val="20"/>
        </w:rPr>
        <w:t>PA State Law Regarding Alcohol Amnesty</w:t>
      </w:r>
      <w:r w:rsidRPr="008D5588">
        <w:rPr>
          <w:rFonts w:eastAsiaTheme="minorEastAsia"/>
          <w:b/>
          <w:i/>
          <w:sz w:val="20"/>
          <w:szCs w:val="20"/>
        </w:rPr>
        <w:t xml:space="preserve"> - 18Pa.C.S</w:t>
      </w:r>
      <w:proofErr w:type="gramStart"/>
      <w:r w:rsidRPr="008D5588">
        <w:rPr>
          <w:rFonts w:eastAsiaTheme="minorEastAsia"/>
          <w:b/>
          <w:i/>
          <w:sz w:val="20"/>
          <w:szCs w:val="20"/>
        </w:rPr>
        <w:t>.§</w:t>
      </w:r>
      <w:proofErr w:type="gramEnd"/>
      <w:r w:rsidRPr="008D5588">
        <w:rPr>
          <w:rFonts w:eastAsiaTheme="minorEastAsia"/>
          <w:b/>
          <w:i/>
          <w:sz w:val="20"/>
          <w:szCs w:val="20"/>
        </w:rPr>
        <w:t xml:space="preserve"> 6308.1. </w:t>
      </w:r>
      <w:proofErr w:type="gramStart"/>
      <w:r w:rsidRPr="008D5588">
        <w:rPr>
          <w:rFonts w:eastAsiaTheme="minorEastAsia"/>
          <w:b/>
          <w:i/>
          <w:sz w:val="20"/>
          <w:szCs w:val="20"/>
        </w:rPr>
        <w:t>Safe Harbor</w:t>
      </w:r>
      <w:r w:rsidRPr="008D5588">
        <w:rPr>
          <w:rFonts w:eastAsiaTheme="minorEastAsia"/>
          <w:i/>
          <w:sz w:val="20"/>
          <w:szCs w:val="20"/>
        </w:rPr>
        <w:fldChar w:fldCharType="end"/>
      </w:r>
      <w:r w:rsidRPr="008D5588">
        <w:rPr>
          <w:rFonts w:eastAsiaTheme="minorEastAsia"/>
          <w:i/>
          <w:sz w:val="20"/>
          <w:szCs w:val="20"/>
        </w:rPr>
        <w:t xml:space="preserve"> </w:t>
      </w:r>
      <w:r w:rsidRPr="008D5588">
        <w:rPr>
          <w:rFonts w:eastAsiaTheme="minorEastAsia"/>
          <w:sz w:val="20"/>
          <w:szCs w:val="20"/>
        </w:rPr>
        <w:t>for more information.</w:t>
      </w:r>
      <w:proofErr w:type="gramEnd"/>
    </w:p>
    <w:p w:rsidR="008D5588" w:rsidRPr="008D5588" w:rsidRDefault="008D5588" w:rsidP="008D5588">
      <w:pPr>
        <w:spacing w:after="200" w:line="276" w:lineRule="auto"/>
        <w:rPr>
          <w:rFonts w:eastAsiaTheme="minorEastAsia"/>
          <w:i/>
          <w:sz w:val="20"/>
          <w:szCs w:val="20"/>
        </w:rPr>
      </w:pPr>
      <w:r w:rsidRPr="008D5588">
        <w:rPr>
          <w:rFonts w:eastAsiaTheme="minorEastAsia"/>
          <w:sz w:val="20"/>
          <w:szCs w:val="20"/>
        </w:rPr>
        <w:t xml:space="preserve">See </w:t>
      </w:r>
      <w:r w:rsidRPr="008D5588">
        <w:rPr>
          <w:rFonts w:eastAsiaTheme="minorEastAsia"/>
          <w:i/>
          <w:sz w:val="20"/>
          <w:szCs w:val="20"/>
        </w:rPr>
        <w:fldChar w:fldCharType="begin"/>
      </w:r>
      <w:r w:rsidRPr="008D5588">
        <w:rPr>
          <w:rFonts w:eastAsiaTheme="minorEastAsia"/>
          <w:i/>
          <w:sz w:val="20"/>
          <w:szCs w:val="20"/>
        </w:rPr>
        <w:instrText xml:space="preserve"> REF _Ref534984488 \h  \* MERGEFORMAT </w:instrText>
      </w:r>
      <w:r w:rsidRPr="008D5588">
        <w:rPr>
          <w:rFonts w:eastAsiaTheme="minorEastAsia"/>
          <w:i/>
          <w:sz w:val="20"/>
          <w:szCs w:val="20"/>
        </w:rPr>
      </w:r>
      <w:r w:rsidRPr="008D5588">
        <w:rPr>
          <w:rFonts w:eastAsiaTheme="minorEastAsia"/>
          <w:i/>
          <w:sz w:val="20"/>
          <w:szCs w:val="20"/>
        </w:rPr>
        <w:fldChar w:fldCharType="separate"/>
      </w:r>
      <w:r w:rsidRPr="008D5588">
        <w:rPr>
          <w:rFonts w:eastAsiaTheme="minorEastAsia"/>
          <w:i/>
          <w:sz w:val="20"/>
          <w:szCs w:val="20"/>
        </w:rPr>
        <w:t>PA State Law Regarding Drug Amnesty</w:t>
      </w:r>
      <w:r w:rsidRPr="008D5588">
        <w:rPr>
          <w:rFonts w:eastAsiaTheme="minorEastAsia"/>
          <w:b/>
          <w:i/>
          <w:sz w:val="20"/>
          <w:szCs w:val="20"/>
        </w:rPr>
        <w:t xml:space="preserve"> – PA Act 139 Section 13.7</w:t>
      </w:r>
      <w:r w:rsidRPr="008D5588">
        <w:rPr>
          <w:rFonts w:eastAsiaTheme="minorEastAsia"/>
          <w:i/>
          <w:sz w:val="20"/>
          <w:szCs w:val="20"/>
        </w:rPr>
        <w:fldChar w:fldCharType="end"/>
      </w:r>
      <w:r w:rsidRPr="008D5588">
        <w:rPr>
          <w:rFonts w:eastAsiaTheme="minorEastAsia"/>
          <w:i/>
          <w:sz w:val="20"/>
          <w:szCs w:val="20"/>
        </w:rPr>
        <w:t xml:space="preserve"> </w:t>
      </w:r>
      <w:r w:rsidRPr="008D5588">
        <w:rPr>
          <w:rFonts w:eastAsiaTheme="minorEastAsia"/>
          <w:sz w:val="20"/>
          <w:szCs w:val="20"/>
        </w:rPr>
        <w:t>for more information.</w:t>
      </w:r>
    </w:p>
    <w:p w:rsidR="008D5588" w:rsidRPr="008D5588" w:rsidRDefault="008D5588" w:rsidP="008D5588">
      <w:pPr>
        <w:pBdr>
          <w:top w:val="single" w:sz="6" w:space="2" w:color="5B9BD5" w:themeColor="accent1"/>
        </w:pBdr>
        <w:spacing w:before="300" w:after="0" w:line="276" w:lineRule="auto"/>
        <w:outlineLvl w:val="2"/>
        <w:rPr>
          <w:rFonts w:eastAsiaTheme="minorEastAsia"/>
          <w:caps/>
          <w:color w:val="1F4D78" w:themeColor="accent1" w:themeShade="7F"/>
          <w:spacing w:val="15"/>
          <w:sz w:val="20"/>
          <w:szCs w:val="20"/>
        </w:rPr>
      </w:pPr>
      <w:r w:rsidRPr="008D5588">
        <w:rPr>
          <w:rFonts w:eastAsiaTheme="minorEastAsia"/>
          <w:caps/>
          <w:color w:val="1F4D78" w:themeColor="accent1" w:themeShade="7F"/>
          <w:spacing w:val="15"/>
          <w:sz w:val="20"/>
          <w:szCs w:val="20"/>
        </w:rPr>
        <w:t>ReporTING</w:t>
      </w:r>
    </w:p>
    <w:p w:rsidR="008D5588" w:rsidRPr="008D5588" w:rsidRDefault="008D5588" w:rsidP="008D5588">
      <w:pPr>
        <w:spacing w:before="100" w:after="200" w:line="276" w:lineRule="auto"/>
        <w:rPr>
          <w:rFonts w:eastAsiaTheme="minorEastAsia"/>
          <w:sz w:val="20"/>
          <w:szCs w:val="20"/>
        </w:rPr>
      </w:pPr>
      <w:r w:rsidRPr="008D5588">
        <w:rPr>
          <w:rFonts w:eastAsiaTheme="minorEastAsia"/>
          <w:sz w:val="20"/>
          <w:szCs w:val="20"/>
        </w:rPr>
        <w:t xml:space="preserve">Anyone can report concerns related to hazing by submitting a form online. This Incident Reporting form can be found </w:t>
      </w:r>
      <w:hyperlink r:id="rId9" w:history="1">
        <w:r w:rsidRPr="008D5588">
          <w:rPr>
            <w:rFonts w:eastAsiaTheme="minorEastAsia"/>
            <w:color w:val="0563C1" w:themeColor="hyperlink"/>
            <w:sz w:val="20"/>
            <w:szCs w:val="20"/>
            <w:u w:val="single"/>
          </w:rPr>
          <w:t>here</w:t>
        </w:r>
      </w:hyperlink>
      <w:r w:rsidRPr="008D5588">
        <w:rPr>
          <w:rFonts w:eastAsiaTheme="minorEastAsia"/>
          <w:sz w:val="20"/>
          <w:szCs w:val="20"/>
        </w:rPr>
        <w:t>.</w:t>
      </w:r>
    </w:p>
    <w:p w:rsidR="00D94501" w:rsidRDefault="00D94501"/>
    <w:sectPr w:rsidR="00D94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468C"/>
    <w:multiLevelType w:val="hybridMultilevel"/>
    <w:tmpl w:val="5892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710DC"/>
    <w:multiLevelType w:val="hybridMultilevel"/>
    <w:tmpl w:val="D326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647763"/>
    <w:multiLevelType w:val="hybridMultilevel"/>
    <w:tmpl w:val="D2103D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3MTU1MTe1NDU2szRQ0lEKTi0uzszPAykwrAUAFkkEjSwAAAA="/>
  </w:docVars>
  <w:rsids>
    <w:rsidRoot w:val="008D5588"/>
    <w:rsid w:val="004F7C92"/>
    <w:rsid w:val="008D5588"/>
    <w:rsid w:val="00D9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state.pa.us/cfdocs/legis/li/uconsCheck.cfm?yr=2018&amp;sessInd=0&amp;act=80" TargetMode="External"/><Relationship Id="rId3" Type="http://schemas.microsoft.com/office/2007/relationships/stylesWithEffects" Target="stylesWithEffects.xml"/><Relationship Id="rId7" Type="http://schemas.openxmlformats.org/officeDocument/2006/relationships/hyperlink" Target="https://www.legis.state.pa.us/cfdocs/legis/li/uconsCheck.cfm?yr=2018&amp;sessInd=0&amp;act=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state.pa.us/cfdocs/legis/li/uconsCheck.cfm?yr=2018&amp;sessInd=0&amp;act=8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m.maxient.com/reportingform.php?MisericordiaUniv&amp;layout_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 Rimpfel</dc:creator>
  <cp:lastModifiedBy>Brian Murphy</cp:lastModifiedBy>
  <cp:revision>2</cp:revision>
  <dcterms:created xsi:type="dcterms:W3CDTF">2019-01-29T14:50:00Z</dcterms:created>
  <dcterms:modified xsi:type="dcterms:W3CDTF">2019-01-29T14:50:00Z</dcterms:modified>
</cp:coreProperties>
</file>